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3020"/>
        <w:gridCol w:w="3913"/>
        <w:gridCol w:w="3410"/>
      </w:tblGrid>
      <w:tr w:rsidR="00C25036" w:rsidRPr="00A825BE" w14:paraId="63CC026F" w14:textId="77777777" w:rsidTr="00CD48A1">
        <w:tc>
          <w:tcPr>
            <w:tcW w:w="3020" w:type="dxa"/>
            <w:shd w:val="clear" w:color="auto" w:fill="0070C0"/>
          </w:tcPr>
          <w:p w14:paraId="14CC51F6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Critère de qualité</w:t>
            </w:r>
          </w:p>
          <w:p w14:paraId="66FF108E" w14:textId="0257560A" w:rsidR="00C25036" w:rsidRPr="00A825BE" w:rsidRDefault="00C25036" w:rsidP="00C25036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913" w:type="dxa"/>
            <w:shd w:val="clear" w:color="auto" w:fill="0070C0"/>
          </w:tcPr>
          <w:p w14:paraId="647D057F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Indicateur de</w:t>
            </w:r>
          </w:p>
          <w:p w14:paraId="2B48D897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Performance</w:t>
            </w:r>
          </w:p>
          <w:p w14:paraId="622AF445" w14:textId="77777777" w:rsidR="00C25036" w:rsidRPr="00A825BE" w:rsidRDefault="00C25036" w:rsidP="00C25036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410" w:type="dxa"/>
            <w:shd w:val="clear" w:color="auto" w:fill="0070C0"/>
          </w:tcPr>
          <w:p w14:paraId="26A54A47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Objectifs</w:t>
            </w:r>
          </w:p>
          <w:p w14:paraId="24E9EF5B" w14:textId="77777777" w:rsidR="00C25036" w:rsidRPr="00A825BE" w:rsidRDefault="00C25036" w:rsidP="00C25036">
            <w:pPr>
              <w:jc w:val="center"/>
              <w:rPr>
                <w:color w:val="FFFFFF" w:themeColor="background1"/>
              </w:rPr>
            </w:pPr>
          </w:p>
        </w:tc>
      </w:tr>
      <w:tr w:rsidR="00C25036" w:rsidRPr="00A825BE" w14:paraId="098B0A47" w14:textId="77777777" w:rsidTr="00CD48A1">
        <w:tc>
          <w:tcPr>
            <w:tcW w:w="3020" w:type="dxa"/>
            <w:shd w:val="clear" w:color="auto" w:fill="00B0F0"/>
          </w:tcPr>
          <w:p w14:paraId="798F0291" w14:textId="7B48FCE6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Maintenance Préventive</w:t>
            </w:r>
          </w:p>
        </w:tc>
        <w:tc>
          <w:tcPr>
            <w:tcW w:w="3913" w:type="dxa"/>
            <w:shd w:val="clear" w:color="auto" w:fill="00B0F0"/>
          </w:tcPr>
          <w:p w14:paraId="7E62764C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10" w:type="dxa"/>
            <w:shd w:val="clear" w:color="auto" w:fill="00B0F0"/>
          </w:tcPr>
          <w:p w14:paraId="22614B1B" w14:textId="77777777" w:rsidR="00C25036" w:rsidRPr="00A825BE" w:rsidRDefault="00C25036" w:rsidP="00C25036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9E1C21" w:rsidRPr="00A825BE" w14:paraId="0A9EAC3C" w14:textId="77777777" w:rsidTr="00CD48A1">
        <w:tc>
          <w:tcPr>
            <w:tcW w:w="3020" w:type="dxa"/>
          </w:tcPr>
          <w:p w14:paraId="6A459634" w14:textId="522997AC" w:rsidR="009E1C21" w:rsidRPr="00A825BE" w:rsidRDefault="00132A75" w:rsidP="00C25036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 xml:space="preserve"> Analyse de l’efficacité de la maintenance préventive – </w:t>
            </w:r>
            <w:r w:rsidR="00A825BE" w:rsidRPr="00A825BE">
              <w:rPr>
                <w:b/>
                <w:bCs/>
              </w:rPr>
              <w:t>Nombre</w:t>
            </w:r>
            <w:r w:rsidRPr="00A825BE">
              <w:rPr>
                <w:b/>
                <w:bCs/>
              </w:rPr>
              <w:t xml:space="preserve"> de défaillances</w:t>
            </w:r>
          </w:p>
        </w:tc>
        <w:tc>
          <w:tcPr>
            <w:tcW w:w="3913" w:type="dxa"/>
          </w:tcPr>
          <w:p w14:paraId="0AA04294" w14:textId="5CD92F18" w:rsidR="009E1C21" w:rsidRPr="00A825BE" w:rsidRDefault="009E1C21" w:rsidP="00C25036">
            <w:r w:rsidRPr="00A825BE">
              <w:t>Défaillances par systèmes technique</w:t>
            </w:r>
            <w:r w:rsidR="00132A75" w:rsidRPr="00A825BE">
              <w:t>s</w:t>
            </w:r>
            <w:r w:rsidRPr="00A825BE">
              <w:t xml:space="preserve"> </w:t>
            </w:r>
            <w:r w:rsidR="006E07AA">
              <w:t>et</w:t>
            </w:r>
            <w:r w:rsidRPr="00A825BE">
              <w:t xml:space="preserve"> par zones du bâtiment </w:t>
            </w:r>
            <w:r w:rsidR="00132A75" w:rsidRPr="00A825BE">
              <w:t>(étages)</w:t>
            </w:r>
            <w:r w:rsidRPr="00A825BE">
              <w:t xml:space="preserve"> </w:t>
            </w:r>
          </w:p>
        </w:tc>
        <w:tc>
          <w:tcPr>
            <w:tcW w:w="3410" w:type="dxa"/>
          </w:tcPr>
          <w:p w14:paraId="4126DAA4" w14:textId="1049BCE2" w:rsidR="009E1C21" w:rsidRPr="00A825BE" w:rsidRDefault="00CD48A1" w:rsidP="00C25036">
            <w:r w:rsidRPr="00A825BE">
              <w:t>Amélioration continue durant la vie du marché</w:t>
            </w:r>
          </w:p>
        </w:tc>
      </w:tr>
      <w:tr w:rsidR="002E7778" w:rsidRPr="00A825BE" w14:paraId="67296569" w14:textId="77777777" w:rsidTr="00CD48A1">
        <w:trPr>
          <w:trHeight w:val="1060"/>
        </w:trPr>
        <w:tc>
          <w:tcPr>
            <w:tcW w:w="3020" w:type="dxa"/>
          </w:tcPr>
          <w:p w14:paraId="0B419E1D" w14:textId="69168216" w:rsidR="002E7778" w:rsidRPr="00A825BE" w:rsidRDefault="002E7778" w:rsidP="00C25036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Engagement de résultat sur les conditions de conforts (chauffage/refroidissement)</w:t>
            </w:r>
          </w:p>
        </w:tc>
        <w:tc>
          <w:tcPr>
            <w:tcW w:w="3913" w:type="dxa"/>
          </w:tcPr>
          <w:p w14:paraId="6F5B6D23" w14:textId="2E5BD645" w:rsidR="002E7778" w:rsidRPr="00A825BE" w:rsidRDefault="002E7778" w:rsidP="00C25036">
            <w:r w:rsidRPr="00A825BE">
              <w:t xml:space="preserve">Garanti une température de consigne </w:t>
            </w:r>
            <w:r w:rsidR="009E1C21" w:rsidRPr="00A825BE">
              <w:t xml:space="preserve">définie par la CDC (avec +/- 1°C de tolérance) </w:t>
            </w:r>
            <w:r w:rsidRPr="00A825BE">
              <w:t>dans tous les espaces</w:t>
            </w:r>
          </w:p>
        </w:tc>
        <w:tc>
          <w:tcPr>
            <w:tcW w:w="3410" w:type="dxa"/>
          </w:tcPr>
          <w:p w14:paraId="58F12386" w14:textId="77777777" w:rsidR="002E7778" w:rsidRPr="00A825BE" w:rsidRDefault="009E1C21" w:rsidP="00C25036">
            <w:r w:rsidRPr="00A825BE">
              <w:t>95%</w:t>
            </w:r>
          </w:p>
          <w:p w14:paraId="2176D72C" w14:textId="1530C4FC" w:rsidR="009E1C21" w:rsidRPr="00A825BE" w:rsidRDefault="009E1C21" w:rsidP="00C25036"/>
        </w:tc>
      </w:tr>
      <w:tr w:rsidR="00C25036" w:rsidRPr="00A825BE" w14:paraId="266FAE4B" w14:textId="77777777" w:rsidTr="00CD48A1">
        <w:tc>
          <w:tcPr>
            <w:tcW w:w="3020" w:type="dxa"/>
          </w:tcPr>
          <w:p w14:paraId="3646DB09" w14:textId="77777777" w:rsidR="00C25036" w:rsidRPr="00A825BE" w:rsidRDefault="00C25036" w:rsidP="00C25036">
            <w:pPr>
              <w:rPr>
                <w:b/>
                <w:bCs/>
              </w:rPr>
            </w:pPr>
          </w:p>
          <w:p w14:paraId="5B3F534F" w14:textId="51B4BE30" w:rsidR="00C25036" w:rsidRPr="00A825BE" w:rsidRDefault="00C25036" w:rsidP="00C25036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 xml:space="preserve">Respect du </w:t>
            </w:r>
            <w:r w:rsidR="004C2BB8" w:rsidRPr="00A825BE">
              <w:rPr>
                <w:b/>
                <w:bCs/>
              </w:rPr>
              <w:t xml:space="preserve">calendrier </w:t>
            </w:r>
            <w:r w:rsidRPr="00A825BE">
              <w:rPr>
                <w:b/>
                <w:bCs/>
              </w:rPr>
              <w:t>de maintenance préventive</w:t>
            </w:r>
            <w:r w:rsidR="005B2BCD" w:rsidRPr="00A825BE">
              <w:rPr>
                <w:b/>
                <w:bCs/>
              </w:rPr>
              <w:t xml:space="preserve"> (mensuelle)</w:t>
            </w:r>
          </w:p>
          <w:p w14:paraId="24863BB6" w14:textId="77777777" w:rsidR="00C25036" w:rsidRPr="00A825BE" w:rsidRDefault="00C25036" w:rsidP="00C25036">
            <w:pPr>
              <w:rPr>
                <w:b/>
                <w:bCs/>
              </w:rPr>
            </w:pPr>
          </w:p>
        </w:tc>
        <w:tc>
          <w:tcPr>
            <w:tcW w:w="3913" w:type="dxa"/>
          </w:tcPr>
          <w:p w14:paraId="7AEEF6B9" w14:textId="77777777" w:rsidR="00C25036" w:rsidRPr="00A825BE" w:rsidRDefault="00C25036" w:rsidP="00C25036"/>
          <w:p w14:paraId="4CAD715C" w14:textId="182A4F09" w:rsidR="00C25036" w:rsidRPr="00A825BE" w:rsidRDefault="00C25036" w:rsidP="00C25036">
            <w:r w:rsidRPr="00A825BE">
              <w:t>Interventions préventives réalisées / Interventions préventives prévues</w:t>
            </w:r>
          </w:p>
        </w:tc>
        <w:tc>
          <w:tcPr>
            <w:tcW w:w="3410" w:type="dxa"/>
          </w:tcPr>
          <w:p w14:paraId="1C1A4998" w14:textId="77777777" w:rsidR="00C25036" w:rsidRPr="00A825BE" w:rsidRDefault="00C25036" w:rsidP="00C25036"/>
          <w:p w14:paraId="4C380435" w14:textId="53E1A60E" w:rsidR="008E7278" w:rsidRPr="00A825BE" w:rsidRDefault="008E7278" w:rsidP="008E7278">
            <w:r w:rsidRPr="00A825BE">
              <w:t xml:space="preserve">Criticité de Niveau 1 et 2 : 90 % </w:t>
            </w:r>
          </w:p>
          <w:p w14:paraId="1C063EB9" w14:textId="4280EF9F" w:rsidR="008E7278" w:rsidRPr="00A825BE" w:rsidRDefault="008E7278" w:rsidP="008E7278">
            <w:r w:rsidRPr="00A825BE">
              <w:t>Criticité de Niveau 3 et 4 : 100 %</w:t>
            </w:r>
          </w:p>
          <w:p w14:paraId="34E2B1C3" w14:textId="518A930C" w:rsidR="00C25036" w:rsidRPr="00A825BE" w:rsidRDefault="00C25036" w:rsidP="008E7278"/>
        </w:tc>
      </w:tr>
      <w:tr w:rsidR="008E7278" w:rsidRPr="00A825BE" w14:paraId="136A3D1F" w14:textId="77777777" w:rsidTr="00CD48A1">
        <w:tc>
          <w:tcPr>
            <w:tcW w:w="3020" w:type="dxa"/>
          </w:tcPr>
          <w:p w14:paraId="60DC400D" w14:textId="2EDDC6B1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Respect du calendrier de maintenance Réglementaire</w:t>
            </w:r>
          </w:p>
          <w:p w14:paraId="03CBE757" w14:textId="77777777" w:rsidR="008E7278" w:rsidRPr="00A825BE" w:rsidRDefault="008E7278" w:rsidP="008E7278">
            <w:pPr>
              <w:rPr>
                <w:b/>
                <w:bCs/>
              </w:rPr>
            </w:pPr>
          </w:p>
        </w:tc>
        <w:tc>
          <w:tcPr>
            <w:tcW w:w="3913" w:type="dxa"/>
          </w:tcPr>
          <w:p w14:paraId="0D646B1D" w14:textId="77777777" w:rsidR="008E7278" w:rsidRPr="00A825BE" w:rsidRDefault="008E7278" w:rsidP="008E7278"/>
          <w:p w14:paraId="40769460" w14:textId="2379195A" w:rsidR="008E7278" w:rsidRPr="00A825BE" w:rsidRDefault="008E7278" w:rsidP="008E7278">
            <w:r w:rsidRPr="00A825BE">
              <w:t>Interventions réglementaires réalisées / Interventions règlementaires prévues</w:t>
            </w:r>
          </w:p>
        </w:tc>
        <w:tc>
          <w:tcPr>
            <w:tcW w:w="3410" w:type="dxa"/>
          </w:tcPr>
          <w:p w14:paraId="6C8EAFC3" w14:textId="77777777" w:rsidR="008E7278" w:rsidRPr="00A825BE" w:rsidRDefault="008E7278" w:rsidP="008E7278">
            <w:r w:rsidRPr="00A825BE">
              <w:t xml:space="preserve"> </w:t>
            </w:r>
          </w:p>
          <w:p w14:paraId="20270151" w14:textId="291F65C8" w:rsidR="008E7278" w:rsidRPr="00A825BE" w:rsidRDefault="008E7278" w:rsidP="008E7278">
            <w:r w:rsidRPr="00A825BE">
              <w:t>100 %</w:t>
            </w:r>
          </w:p>
        </w:tc>
      </w:tr>
      <w:tr w:rsidR="008E7278" w:rsidRPr="00A825BE" w14:paraId="14C46589" w14:textId="77777777" w:rsidTr="00CD48A1">
        <w:trPr>
          <w:trHeight w:val="1202"/>
        </w:trPr>
        <w:tc>
          <w:tcPr>
            <w:tcW w:w="3020" w:type="dxa"/>
          </w:tcPr>
          <w:p w14:paraId="56933B3D" w14:textId="77777777" w:rsidR="008E7278" w:rsidRPr="00A825BE" w:rsidRDefault="008E7278" w:rsidP="008E7278">
            <w:pPr>
              <w:rPr>
                <w:b/>
                <w:bCs/>
              </w:rPr>
            </w:pPr>
          </w:p>
          <w:p w14:paraId="762270C3" w14:textId="77777777" w:rsidR="008E7278" w:rsidRPr="00A825BE" w:rsidRDefault="008E7278" w:rsidP="008E7278">
            <w:pPr>
              <w:rPr>
                <w:b/>
                <w:bCs/>
              </w:rPr>
            </w:pPr>
          </w:p>
          <w:p w14:paraId="28B6A1EE" w14:textId="7D6DBE17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 xml:space="preserve">Taux de réalisation des auto-contrôles </w:t>
            </w:r>
          </w:p>
        </w:tc>
        <w:tc>
          <w:tcPr>
            <w:tcW w:w="3913" w:type="dxa"/>
            <w:shd w:val="clear" w:color="auto" w:fill="auto"/>
          </w:tcPr>
          <w:p w14:paraId="78CC204D" w14:textId="77777777" w:rsidR="008E7278" w:rsidRPr="00A825BE" w:rsidRDefault="008E7278" w:rsidP="008E7278"/>
          <w:p w14:paraId="016EFBAF" w14:textId="3EA7CC64" w:rsidR="008E7278" w:rsidRPr="00A825BE" w:rsidRDefault="008E7278" w:rsidP="008E7278">
            <w:r w:rsidRPr="00A825BE">
              <w:t>Interventions préventives ayant générées un auto-contrôle / Interventions préventives réalisées</w:t>
            </w:r>
          </w:p>
        </w:tc>
        <w:tc>
          <w:tcPr>
            <w:tcW w:w="3410" w:type="dxa"/>
            <w:shd w:val="clear" w:color="auto" w:fill="auto"/>
          </w:tcPr>
          <w:p w14:paraId="64A8C35B" w14:textId="77777777" w:rsidR="008E7278" w:rsidRPr="00A825BE" w:rsidRDefault="008E7278" w:rsidP="008E7278"/>
          <w:p w14:paraId="6821F933" w14:textId="77777777" w:rsidR="00A825BE" w:rsidRPr="00A825BE" w:rsidRDefault="00A825BE" w:rsidP="008E7278">
            <w:r w:rsidRPr="00A825BE">
              <w:t xml:space="preserve">Autocontrôle sur équipement de : </w:t>
            </w:r>
          </w:p>
          <w:p w14:paraId="61E0FD6F" w14:textId="7100EE07" w:rsidR="008E7278" w:rsidRPr="00A825BE" w:rsidRDefault="008E7278" w:rsidP="00A825BE">
            <w:pPr>
              <w:pStyle w:val="Paragraphedeliste"/>
              <w:numPr>
                <w:ilvl w:val="0"/>
                <w:numId w:val="1"/>
              </w:numPr>
            </w:pPr>
            <w:r w:rsidRPr="00A825BE">
              <w:t xml:space="preserve">Criticité de Niveau 1 et 2 : 10 % </w:t>
            </w:r>
          </w:p>
          <w:p w14:paraId="5F7BF6DB" w14:textId="0E802E00" w:rsidR="008E7278" w:rsidRPr="00A825BE" w:rsidRDefault="008E7278" w:rsidP="00A825BE">
            <w:pPr>
              <w:pStyle w:val="Paragraphedeliste"/>
              <w:numPr>
                <w:ilvl w:val="0"/>
                <w:numId w:val="1"/>
              </w:numPr>
            </w:pPr>
            <w:r w:rsidRPr="00A825BE">
              <w:t>Criticité de Niveau 3 : 80 %</w:t>
            </w:r>
          </w:p>
          <w:p w14:paraId="685AC537" w14:textId="5FBBC68A" w:rsidR="008E7278" w:rsidRPr="00A825BE" w:rsidRDefault="008E7278" w:rsidP="00A825BE">
            <w:pPr>
              <w:pStyle w:val="Paragraphedeliste"/>
              <w:numPr>
                <w:ilvl w:val="0"/>
                <w:numId w:val="1"/>
              </w:numPr>
            </w:pPr>
            <w:r w:rsidRPr="00A825BE">
              <w:t>Criticité de Niveau 4 : 100 %</w:t>
            </w:r>
          </w:p>
          <w:p w14:paraId="0D9802D0" w14:textId="77777777" w:rsidR="008E7278" w:rsidRPr="00A825BE" w:rsidRDefault="008E7278" w:rsidP="008E7278"/>
          <w:p w14:paraId="19BA2259" w14:textId="36E333E6" w:rsidR="008E7278" w:rsidRPr="00A825BE" w:rsidRDefault="008E7278" w:rsidP="008E7278"/>
        </w:tc>
      </w:tr>
      <w:tr w:rsidR="008E7278" w:rsidRPr="00A825BE" w14:paraId="26C82A6C" w14:textId="77777777" w:rsidTr="00CD48A1">
        <w:trPr>
          <w:trHeight w:val="226"/>
        </w:trPr>
        <w:tc>
          <w:tcPr>
            <w:tcW w:w="3020" w:type="dxa"/>
            <w:shd w:val="clear" w:color="auto" w:fill="00B0F0"/>
          </w:tcPr>
          <w:p w14:paraId="0569EF3F" w14:textId="6B385A43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  <w:color w:val="FFFFFF" w:themeColor="background1"/>
              </w:rPr>
              <w:t>Maintenance Corrective</w:t>
            </w:r>
          </w:p>
        </w:tc>
        <w:tc>
          <w:tcPr>
            <w:tcW w:w="3913" w:type="dxa"/>
            <w:shd w:val="clear" w:color="auto" w:fill="00B0F0"/>
          </w:tcPr>
          <w:p w14:paraId="4C0BF185" w14:textId="77777777" w:rsidR="008E7278" w:rsidRPr="00A825BE" w:rsidRDefault="008E7278" w:rsidP="008E7278"/>
        </w:tc>
        <w:tc>
          <w:tcPr>
            <w:tcW w:w="3410" w:type="dxa"/>
            <w:shd w:val="clear" w:color="auto" w:fill="00B0F0"/>
          </w:tcPr>
          <w:p w14:paraId="013D468C" w14:textId="0339C50E" w:rsidR="008E7278" w:rsidRPr="00A825BE" w:rsidRDefault="008E7278" w:rsidP="008E7278"/>
        </w:tc>
      </w:tr>
      <w:tr w:rsidR="008E7278" w:rsidRPr="00A825BE" w14:paraId="540C0B08" w14:textId="77777777" w:rsidTr="00CD48A1">
        <w:trPr>
          <w:trHeight w:val="939"/>
        </w:trPr>
        <w:tc>
          <w:tcPr>
            <w:tcW w:w="3020" w:type="dxa"/>
            <w:shd w:val="clear" w:color="auto" w:fill="auto"/>
          </w:tcPr>
          <w:p w14:paraId="1E62B000" w14:textId="77777777" w:rsidR="008E7278" w:rsidRPr="00A825BE" w:rsidRDefault="008E7278" w:rsidP="008E7278">
            <w:pPr>
              <w:rPr>
                <w:b/>
                <w:bCs/>
              </w:rPr>
            </w:pPr>
          </w:p>
          <w:p w14:paraId="02C2709C" w14:textId="0EDCF0C4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Respect des délais contractuels</w:t>
            </w:r>
          </w:p>
        </w:tc>
        <w:tc>
          <w:tcPr>
            <w:tcW w:w="3913" w:type="dxa"/>
            <w:shd w:val="clear" w:color="auto" w:fill="auto"/>
          </w:tcPr>
          <w:p w14:paraId="31349E29" w14:textId="77777777" w:rsidR="008E7278" w:rsidRPr="00A825BE" w:rsidRDefault="008E7278" w:rsidP="008E7278"/>
          <w:p w14:paraId="1B33B299" w14:textId="6C40BEE3" w:rsidR="008E7278" w:rsidRPr="00A825BE" w:rsidRDefault="008E7278" w:rsidP="008E7278">
            <w:r w:rsidRPr="00A825BE">
              <w:t>Nombre de demandes d’interventions respectant les délais contractuels / Nombre de demandes d’interventions totales</w:t>
            </w:r>
          </w:p>
          <w:p w14:paraId="7866B589" w14:textId="61425A0B" w:rsidR="008E7278" w:rsidRPr="00A825BE" w:rsidRDefault="008E7278" w:rsidP="008E7278"/>
        </w:tc>
        <w:tc>
          <w:tcPr>
            <w:tcW w:w="3410" w:type="dxa"/>
            <w:shd w:val="clear" w:color="auto" w:fill="auto"/>
          </w:tcPr>
          <w:p w14:paraId="189625B4" w14:textId="77777777" w:rsidR="008E7278" w:rsidRPr="00A825BE" w:rsidRDefault="008E7278" w:rsidP="008E7278"/>
          <w:p w14:paraId="22A92D67" w14:textId="77777777" w:rsidR="008E7278" w:rsidRPr="00A825BE" w:rsidRDefault="008E7278" w:rsidP="008E7278"/>
          <w:p w14:paraId="174F30B3" w14:textId="48D8856A" w:rsidR="008E7278" w:rsidRPr="00A825BE" w:rsidRDefault="008E7278" w:rsidP="008E7278">
            <w:r w:rsidRPr="00A825BE">
              <w:t>95 %</w:t>
            </w:r>
          </w:p>
        </w:tc>
      </w:tr>
      <w:tr w:rsidR="008E7278" w:rsidRPr="00A825BE" w14:paraId="3AF610F6" w14:textId="77777777" w:rsidTr="00CD48A1">
        <w:trPr>
          <w:trHeight w:val="939"/>
        </w:trPr>
        <w:tc>
          <w:tcPr>
            <w:tcW w:w="3020" w:type="dxa"/>
            <w:shd w:val="clear" w:color="auto" w:fill="auto"/>
          </w:tcPr>
          <w:p w14:paraId="3E9398FE" w14:textId="77777777" w:rsidR="008E7278" w:rsidRPr="00A825BE" w:rsidRDefault="008E7278" w:rsidP="008E7278">
            <w:pPr>
              <w:rPr>
                <w:b/>
                <w:bCs/>
              </w:rPr>
            </w:pPr>
          </w:p>
          <w:p w14:paraId="5C07FEF6" w14:textId="77777777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Résolution des demandes d’interventions correctives</w:t>
            </w:r>
          </w:p>
          <w:p w14:paraId="2FE18F84" w14:textId="6B1CEC14" w:rsidR="008E7278" w:rsidRPr="00A825BE" w:rsidRDefault="008E7278" w:rsidP="008E7278">
            <w:pPr>
              <w:rPr>
                <w:b/>
                <w:bCs/>
              </w:rPr>
            </w:pPr>
          </w:p>
        </w:tc>
        <w:tc>
          <w:tcPr>
            <w:tcW w:w="3913" w:type="dxa"/>
            <w:shd w:val="clear" w:color="auto" w:fill="auto"/>
          </w:tcPr>
          <w:p w14:paraId="643D91AA" w14:textId="77777777" w:rsidR="008E7278" w:rsidRPr="00A825BE" w:rsidRDefault="008E7278" w:rsidP="008E7278"/>
          <w:p w14:paraId="7B4B7851" w14:textId="46819B15" w:rsidR="008E7278" w:rsidRPr="00A825BE" w:rsidRDefault="008E7278" w:rsidP="008E7278">
            <w:r w:rsidRPr="00A825BE">
              <w:t xml:space="preserve">Nombre de demandes non clôturées / Nombre de demandes totales </w:t>
            </w:r>
          </w:p>
        </w:tc>
        <w:tc>
          <w:tcPr>
            <w:tcW w:w="3410" w:type="dxa"/>
            <w:shd w:val="clear" w:color="auto" w:fill="auto"/>
          </w:tcPr>
          <w:p w14:paraId="7EEECF4A" w14:textId="77777777" w:rsidR="008E7278" w:rsidRPr="00A825BE" w:rsidRDefault="008E7278" w:rsidP="008E7278"/>
          <w:p w14:paraId="1953B291" w14:textId="66D8B31C" w:rsidR="008E7278" w:rsidRPr="00A825BE" w:rsidRDefault="008E7278" w:rsidP="008E7278">
            <w:r w:rsidRPr="00A825BE">
              <w:t>5 %</w:t>
            </w:r>
          </w:p>
        </w:tc>
      </w:tr>
      <w:tr w:rsidR="008E7278" w:rsidRPr="00A825BE" w14:paraId="17823069" w14:textId="77777777" w:rsidTr="00CD48A1">
        <w:trPr>
          <w:trHeight w:val="939"/>
        </w:trPr>
        <w:tc>
          <w:tcPr>
            <w:tcW w:w="3020" w:type="dxa"/>
            <w:shd w:val="clear" w:color="auto" w:fill="auto"/>
          </w:tcPr>
          <w:p w14:paraId="7989C51F" w14:textId="77777777" w:rsidR="008E7278" w:rsidRPr="00A825BE" w:rsidRDefault="008E7278" w:rsidP="008E7278">
            <w:pPr>
              <w:rPr>
                <w:b/>
                <w:bCs/>
              </w:rPr>
            </w:pPr>
          </w:p>
          <w:p w14:paraId="3B0EA7F2" w14:textId="626C32D5" w:rsidR="008E7278" w:rsidRPr="00A825BE" w:rsidRDefault="008E7278" w:rsidP="008E7278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 xml:space="preserve">Mesure de l’efficacité des Rondes </w:t>
            </w:r>
          </w:p>
        </w:tc>
        <w:tc>
          <w:tcPr>
            <w:tcW w:w="3913" w:type="dxa"/>
            <w:shd w:val="clear" w:color="auto" w:fill="auto"/>
          </w:tcPr>
          <w:p w14:paraId="2F3A729D" w14:textId="77777777" w:rsidR="008E7278" w:rsidRPr="00A825BE" w:rsidRDefault="008E7278" w:rsidP="008E7278"/>
          <w:p w14:paraId="19A158E9" w14:textId="77777777" w:rsidR="008E7278" w:rsidRPr="00A825BE" w:rsidRDefault="008E7278" w:rsidP="008E7278">
            <w:r w:rsidRPr="00A825BE">
              <w:t>Nombres de demandes provenant du Titulaire (Rondes, …) / Nombres de demandes totales</w:t>
            </w:r>
          </w:p>
          <w:p w14:paraId="3C4DC3F5" w14:textId="3B8CE504" w:rsidR="008E7278" w:rsidRPr="00A825BE" w:rsidRDefault="008E7278" w:rsidP="008E7278"/>
        </w:tc>
        <w:tc>
          <w:tcPr>
            <w:tcW w:w="3410" w:type="dxa"/>
            <w:shd w:val="clear" w:color="auto" w:fill="auto"/>
          </w:tcPr>
          <w:p w14:paraId="72A5F2DD" w14:textId="77777777" w:rsidR="008E7278" w:rsidRPr="00A825BE" w:rsidRDefault="008E7278" w:rsidP="008E7278"/>
          <w:p w14:paraId="0E636E11" w14:textId="2C9B43EC" w:rsidR="008E7278" w:rsidRPr="00A825BE" w:rsidRDefault="008E7278" w:rsidP="008E7278">
            <w:r w:rsidRPr="00A825BE">
              <w:t xml:space="preserve">Amélioration continue durant la vie du marché </w:t>
            </w:r>
          </w:p>
        </w:tc>
      </w:tr>
      <w:tr w:rsidR="008E7278" w:rsidRPr="00A825BE" w14:paraId="6E0719A7" w14:textId="77777777" w:rsidTr="00CD48A1">
        <w:trPr>
          <w:trHeight w:val="276"/>
        </w:trPr>
        <w:tc>
          <w:tcPr>
            <w:tcW w:w="3020" w:type="dxa"/>
            <w:shd w:val="clear" w:color="auto" w:fill="45B0E1" w:themeFill="accent1" w:themeFillTint="99"/>
          </w:tcPr>
          <w:p w14:paraId="6E7A84C9" w14:textId="12A1CDFD" w:rsidR="008E7278" w:rsidRPr="00A825BE" w:rsidRDefault="008E7278" w:rsidP="008E7278">
            <w:pPr>
              <w:tabs>
                <w:tab w:val="center" w:pos="1378"/>
              </w:tabs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Stocks</w:t>
            </w:r>
          </w:p>
        </w:tc>
        <w:tc>
          <w:tcPr>
            <w:tcW w:w="3913" w:type="dxa"/>
            <w:shd w:val="clear" w:color="auto" w:fill="45B0E1" w:themeFill="accent1" w:themeFillTint="99"/>
          </w:tcPr>
          <w:p w14:paraId="6D44FA7E" w14:textId="77777777" w:rsidR="008E7278" w:rsidRPr="00A825BE" w:rsidRDefault="008E7278" w:rsidP="008E7278"/>
        </w:tc>
        <w:tc>
          <w:tcPr>
            <w:tcW w:w="3410" w:type="dxa"/>
            <w:shd w:val="clear" w:color="auto" w:fill="45B0E1" w:themeFill="accent1" w:themeFillTint="99"/>
          </w:tcPr>
          <w:p w14:paraId="0A4AAE23" w14:textId="77777777" w:rsidR="008E7278" w:rsidRPr="00A825BE" w:rsidRDefault="008E7278" w:rsidP="008E7278"/>
        </w:tc>
      </w:tr>
      <w:tr w:rsidR="00CD48A1" w:rsidRPr="00A825BE" w14:paraId="5A2ECD40" w14:textId="77777777" w:rsidTr="00CD48A1">
        <w:trPr>
          <w:trHeight w:val="1258"/>
        </w:trPr>
        <w:tc>
          <w:tcPr>
            <w:tcW w:w="3020" w:type="dxa"/>
            <w:shd w:val="clear" w:color="auto" w:fill="FFFFFF" w:themeFill="background1"/>
          </w:tcPr>
          <w:p w14:paraId="487D4F89" w14:textId="77777777" w:rsidR="00CD48A1" w:rsidRPr="00A825BE" w:rsidRDefault="00CD48A1" w:rsidP="00CD48A1">
            <w:pPr>
              <w:rPr>
                <w:b/>
                <w:bCs/>
              </w:rPr>
            </w:pPr>
          </w:p>
          <w:p w14:paraId="6189301C" w14:textId="0F18E106" w:rsidR="00CD48A1" w:rsidRPr="00A825BE" w:rsidRDefault="00CD48A1" w:rsidP="00CD48A1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 xml:space="preserve">Optimisation du stock de fournitures, consommables et pièces </w:t>
            </w:r>
          </w:p>
        </w:tc>
        <w:tc>
          <w:tcPr>
            <w:tcW w:w="3913" w:type="dxa"/>
            <w:shd w:val="clear" w:color="auto" w:fill="auto"/>
          </w:tcPr>
          <w:p w14:paraId="4C6E532B" w14:textId="77777777" w:rsidR="00CD48A1" w:rsidRPr="00A825BE" w:rsidRDefault="00CD48A1" w:rsidP="00CD48A1"/>
          <w:p w14:paraId="67078646" w14:textId="70860D83" w:rsidR="00CD48A1" w:rsidRPr="00A825BE" w:rsidRDefault="00CD48A1" w:rsidP="00CD48A1">
            <w:r w:rsidRPr="00A825BE">
              <w:t xml:space="preserve">Demande d’intervention résolue grâce aux pièces, fournitures et consommable en stocks / Demandes d’interventions totales </w:t>
            </w:r>
          </w:p>
        </w:tc>
        <w:tc>
          <w:tcPr>
            <w:tcW w:w="3410" w:type="dxa"/>
            <w:shd w:val="clear" w:color="auto" w:fill="auto"/>
          </w:tcPr>
          <w:p w14:paraId="2F202FAD" w14:textId="77777777" w:rsidR="00CD48A1" w:rsidRPr="00A825BE" w:rsidRDefault="00CD48A1" w:rsidP="00CD48A1"/>
          <w:p w14:paraId="26B71F0C" w14:textId="00D1CDB4" w:rsidR="00CD48A1" w:rsidRPr="00A825BE" w:rsidRDefault="00CD48A1" w:rsidP="00CD48A1">
            <w:r w:rsidRPr="00A825BE">
              <w:t xml:space="preserve">Amélioration continue durant la vie du marché </w:t>
            </w:r>
          </w:p>
        </w:tc>
      </w:tr>
      <w:tr w:rsidR="00CD48A1" w:rsidRPr="00A825BE" w14:paraId="34C7FD93" w14:textId="77777777" w:rsidTr="00CD48A1">
        <w:trPr>
          <w:trHeight w:val="342"/>
        </w:trPr>
        <w:tc>
          <w:tcPr>
            <w:tcW w:w="3020" w:type="dxa"/>
            <w:shd w:val="clear" w:color="auto" w:fill="60CAF3" w:themeFill="accent4" w:themeFillTint="99"/>
          </w:tcPr>
          <w:p w14:paraId="3A2AEAA4" w14:textId="19F429E9" w:rsidR="00CD48A1" w:rsidRPr="00A825BE" w:rsidRDefault="00CD48A1" w:rsidP="00CD48A1">
            <w:pPr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Qualité</w:t>
            </w:r>
          </w:p>
        </w:tc>
        <w:tc>
          <w:tcPr>
            <w:tcW w:w="3913" w:type="dxa"/>
            <w:shd w:val="clear" w:color="auto" w:fill="60CAF3" w:themeFill="accent4" w:themeFillTint="99"/>
          </w:tcPr>
          <w:p w14:paraId="1B787052" w14:textId="77777777" w:rsidR="00CD48A1" w:rsidRPr="00A825BE" w:rsidRDefault="00CD48A1" w:rsidP="00CD48A1">
            <w:pPr>
              <w:rPr>
                <w:color w:val="FFFFFF" w:themeColor="background1"/>
              </w:rPr>
            </w:pPr>
          </w:p>
        </w:tc>
        <w:tc>
          <w:tcPr>
            <w:tcW w:w="3410" w:type="dxa"/>
            <w:shd w:val="clear" w:color="auto" w:fill="60CAF3" w:themeFill="accent4" w:themeFillTint="99"/>
          </w:tcPr>
          <w:p w14:paraId="7679ABFD" w14:textId="77777777" w:rsidR="00CD48A1" w:rsidRPr="00A825BE" w:rsidRDefault="00CD48A1" w:rsidP="00CD48A1">
            <w:pPr>
              <w:rPr>
                <w:color w:val="FFFFFF" w:themeColor="background1"/>
              </w:rPr>
            </w:pPr>
          </w:p>
        </w:tc>
      </w:tr>
      <w:tr w:rsidR="00CD48A1" w:rsidRPr="00A825BE" w14:paraId="30A15F36" w14:textId="77777777" w:rsidTr="00CD48A1">
        <w:trPr>
          <w:trHeight w:val="1258"/>
        </w:trPr>
        <w:tc>
          <w:tcPr>
            <w:tcW w:w="3020" w:type="dxa"/>
            <w:shd w:val="clear" w:color="auto" w:fill="FFFFFF" w:themeFill="background1"/>
          </w:tcPr>
          <w:p w14:paraId="625643FB" w14:textId="77777777" w:rsidR="00CD48A1" w:rsidRPr="00A825BE" w:rsidRDefault="00CD48A1" w:rsidP="00CD48A1">
            <w:pPr>
              <w:rPr>
                <w:b/>
                <w:bCs/>
              </w:rPr>
            </w:pPr>
          </w:p>
          <w:p w14:paraId="52042C20" w14:textId="10B3F1F7" w:rsidR="00CD48A1" w:rsidRPr="00A825BE" w:rsidRDefault="00CD48A1" w:rsidP="00CD48A1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Qualité des Prestations</w:t>
            </w:r>
          </w:p>
        </w:tc>
        <w:tc>
          <w:tcPr>
            <w:tcW w:w="3913" w:type="dxa"/>
            <w:shd w:val="clear" w:color="auto" w:fill="FFFFFF" w:themeFill="background1"/>
          </w:tcPr>
          <w:p w14:paraId="28599B9F" w14:textId="77777777" w:rsidR="00CD48A1" w:rsidRPr="00A825BE" w:rsidRDefault="00CD48A1" w:rsidP="00CD48A1"/>
          <w:p w14:paraId="33596C81" w14:textId="1E1F0D9A" w:rsidR="00CD48A1" w:rsidRPr="00A825BE" w:rsidRDefault="00CD48A1" w:rsidP="00CD48A1">
            <w:r w:rsidRPr="00A825BE">
              <w:t>Ratio temps correctif /</w:t>
            </w:r>
          </w:p>
          <w:p w14:paraId="051D98A0" w14:textId="4C96C899" w:rsidR="00CD48A1" w:rsidRPr="00A825BE" w:rsidRDefault="00CD48A1" w:rsidP="00CD48A1">
            <w:r w:rsidRPr="00A825BE">
              <w:t>Temps préventif</w:t>
            </w:r>
          </w:p>
        </w:tc>
        <w:tc>
          <w:tcPr>
            <w:tcW w:w="3410" w:type="dxa"/>
            <w:shd w:val="clear" w:color="auto" w:fill="FFFFFF" w:themeFill="background1"/>
          </w:tcPr>
          <w:p w14:paraId="757FF392" w14:textId="77777777" w:rsidR="00CD48A1" w:rsidRPr="00A825BE" w:rsidRDefault="00CD48A1" w:rsidP="00CD48A1">
            <w:r w:rsidRPr="00A825BE">
              <w:t xml:space="preserve"> </w:t>
            </w:r>
          </w:p>
          <w:p w14:paraId="5B74F329" w14:textId="682EB05C" w:rsidR="00CD48A1" w:rsidRPr="00A825BE" w:rsidRDefault="00CD48A1" w:rsidP="00CD48A1">
            <w:r w:rsidRPr="00A825BE">
              <w:t>15 %</w:t>
            </w:r>
          </w:p>
        </w:tc>
      </w:tr>
      <w:tr w:rsidR="00CD48A1" w:rsidRPr="00A825BE" w14:paraId="2D5C1A05" w14:textId="77777777" w:rsidTr="00166981">
        <w:trPr>
          <w:trHeight w:val="1258"/>
        </w:trPr>
        <w:tc>
          <w:tcPr>
            <w:tcW w:w="3020" w:type="dxa"/>
            <w:shd w:val="clear" w:color="auto" w:fill="FFFFFF" w:themeFill="background1"/>
          </w:tcPr>
          <w:p w14:paraId="4AEC8A2F" w14:textId="77777777" w:rsidR="00CD48A1" w:rsidRPr="00A825BE" w:rsidRDefault="00CD48A1" w:rsidP="00CD48A1">
            <w:pPr>
              <w:rPr>
                <w:b/>
                <w:bCs/>
              </w:rPr>
            </w:pPr>
          </w:p>
          <w:p w14:paraId="55CDB0B0" w14:textId="71BF1744" w:rsidR="00CD48A1" w:rsidRPr="00A825BE" w:rsidRDefault="00CD48A1" w:rsidP="00CD48A1">
            <w:pPr>
              <w:rPr>
                <w:b/>
                <w:bCs/>
              </w:rPr>
            </w:pPr>
            <w:r w:rsidRPr="00A825BE">
              <w:rPr>
                <w:b/>
                <w:bCs/>
              </w:rPr>
              <w:t>Qualité de la base documentaire et des livrables</w:t>
            </w:r>
          </w:p>
        </w:tc>
        <w:tc>
          <w:tcPr>
            <w:tcW w:w="3913" w:type="dxa"/>
            <w:shd w:val="clear" w:color="auto" w:fill="FFFFFF" w:themeFill="background1"/>
          </w:tcPr>
          <w:p w14:paraId="24E205DB" w14:textId="77777777" w:rsidR="00CD48A1" w:rsidRPr="00A825BE" w:rsidRDefault="00CD48A1" w:rsidP="00CD48A1"/>
          <w:p w14:paraId="4F00383D" w14:textId="104F455D" w:rsidR="00CD48A1" w:rsidRPr="00A825BE" w:rsidRDefault="00CD48A1" w:rsidP="00CD48A1">
            <w:r w:rsidRPr="00A825BE">
              <w:t xml:space="preserve">Respect des délais contractuels et réglementaires </w:t>
            </w:r>
          </w:p>
        </w:tc>
        <w:tc>
          <w:tcPr>
            <w:tcW w:w="3410" w:type="dxa"/>
            <w:shd w:val="clear" w:color="auto" w:fill="auto"/>
          </w:tcPr>
          <w:p w14:paraId="77592125" w14:textId="77777777" w:rsidR="00CD48A1" w:rsidRPr="00A825BE" w:rsidRDefault="00CD48A1" w:rsidP="00CD48A1"/>
          <w:p w14:paraId="5223FC3D" w14:textId="7D96D03A" w:rsidR="00CD48A1" w:rsidRDefault="00CD48A1" w:rsidP="00CD48A1">
            <w:r w:rsidRPr="00A825BE">
              <w:t>Contrôles réglementaires : 100 %</w:t>
            </w:r>
          </w:p>
          <w:p w14:paraId="3E9078A6" w14:textId="595D822F" w:rsidR="00166981" w:rsidRPr="00A825BE" w:rsidRDefault="00166981" w:rsidP="00CD48A1">
            <w:r>
              <w:t>En lien avec HQE : 100 %</w:t>
            </w:r>
          </w:p>
          <w:p w14:paraId="1E014A95" w14:textId="3296FCB6" w:rsidR="00CD48A1" w:rsidRPr="00A825BE" w:rsidRDefault="00CD48A1" w:rsidP="00CD48A1">
            <w:r w:rsidRPr="00A825BE">
              <w:t>Livrables Maintenance : 100 %</w:t>
            </w:r>
          </w:p>
          <w:p w14:paraId="567A5001" w14:textId="522FE603" w:rsidR="00CD48A1" w:rsidRPr="00A825BE" w:rsidRDefault="00CD48A1" w:rsidP="00CD48A1"/>
        </w:tc>
      </w:tr>
      <w:tr w:rsidR="00CD48A1" w:rsidRPr="00A825BE" w14:paraId="0AAE3D72" w14:textId="77777777" w:rsidTr="00166981">
        <w:trPr>
          <w:trHeight w:val="1258"/>
        </w:trPr>
        <w:tc>
          <w:tcPr>
            <w:tcW w:w="3020" w:type="dxa"/>
            <w:shd w:val="clear" w:color="auto" w:fill="FFFFFF" w:themeFill="background1"/>
          </w:tcPr>
          <w:p w14:paraId="68C4B677" w14:textId="77777777" w:rsidR="00166981" w:rsidRDefault="00166981" w:rsidP="00CD48A1">
            <w:pPr>
              <w:rPr>
                <w:b/>
                <w:bCs/>
              </w:rPr>
            </w:pPr>
          </w:p>
          <w:p w14:paraId="4176ABD6" w14:textId="1297E8A5" w:rsidR="00CD48A1" w:rsidRPr="00A825BE" w:rsidRDefault="00CD48A1" w:rsidP="00CD48A1">
            <w:pPr>
              <w:rPr>
                <w:b/>
                <w:bCs/>
              </w:rPr>
            </w:pPr>
            <w:r>
              <w:rPr>
                <w:b/>
                <w:bCs/>
              </w:rPr>
              <w:t>Qualité de la mise à jour de la GMAO</w:t>
            </w:r>
          </w:p>
        </w:tc>
        <w:tc>
          <w:tcPr>
            <w:tcW w:w="3913" w:type="dxa"/>
            <w:shd w:val="clear" w:color="auto" w:fill="auto"/>
          </w:tcPr>
          <w:p w14:paraId="0A91682D" w14:textId="77777777" w:rsidR="00CD48A1" w:rsidRPr="00166981" w:rsidRDefault="00CD48A1" w:rsidP="00CD48A1"/>
          <w:p w14:paraId="00AB0B8F" w14:textId="07562E83" w:rsidR="00CD48A1" w:rsidRPr="00166981" w:rsidRDefault="00CD48A1" w:rsidP="00CD48A1">
            <w:r w:rsidRPr="00166981">
              <w:t>Conformité de la maintenance réalisée comparativement à l’état d’avancement renseigné dans la GMAO</w:t>
            </w:r>
          </w:p>
        </w:tc>
        <w:tc>
          <w:tcPr>
            <w:tcW w:w="3410" w:type="dxa"/>
            <w:shd w:val="clear" w:color="auto" w:fill="auto"/>
          </w:tcPr>
          <w:p w14:paraId="104318DB" w14:textId="77777777" w:rsidR="00CD48A1" w:rsidRPr="00166981" w:rsidRDefault="00CD48A1" w:rsidP="00CD48A1"/>
          <w:p w14:paraId="3CE7261F" w14:textId="791D450C" w:rsidR="00CD48A1" w:rsidRPr="00166981" w:rsidRDefault="00CD48A1" w:rsidP="00CD48A1">
            <w:r w:rsidRPr="00166981">
              <w:t xml:space="preserve">100 % </w:t>
            </w:r>
          </w:p>
        </w:tc>
      </w:tr>
      <w:tr w:rsidR="00CD48A1" w:rsidRPr="00A825BE" w14:paraId="0E5D5FB4" w14:textId="77777777" w:rsidTr="00CD48A1">
        <w:trPr>
          <w:trHeight w:val="330"/>
        </w:trPr>
        <w:tc>
          <w:tcPr>
            <w:tcW w:w="3020" w:type="dxa"/>
            <w:shd w:val="clear" w:color="auto" w:fill="60CAF3" w:themeFill="accent4" w:themeFillTint="99"/>
          </w:tcPr>
          <w:p w14:paraId="3EBAD997" w14:textId="6B51C44A" w:rsidR="00CD48A1" w:rsidRPr="00A825BE" w:rsidRDefault="00CD48A1" w:rsidP="00CD48A1">
            <w:pPr>
              <w:rPr>
                <w:b/>
                <w:bCs/>
                <w:color w:val="FFFFFF" w:themeColor="background1"/>
              </w:rPr>
            </w:pPr>
            <w:r w:rsidRPr="00A825BE">
              <w:rPr>
                <w:b/>
                <w:bCs/>
                <w:color w:val="FFFFFF" w:themeColor="background1"/>
              </w:rPr>
              <w:t>Energie</w:t>
            </w:r>
          </w:p>
        </w:tc>
        <w:tc>
          <w:tcPr>
            <w:tcW w:w="3913" w:type="dxa"/>
            <w:shd w:val="clear" w:color="auto" w:fill="60CAF3" w:themeFill="accent4" w:themeFillTint="99"/>
          </w:tcPr>
          <w:p w14:paraId="213A5BFC" w14:textId="77777777" w:rsidR="00CD48A1" w:rsidRPr="00A825BE" w:rsidRDefault="00CD48A1" w:rsidP="00CD48A1"/>
        </w:tc>
        <w:tc>
          <w:tcPr>
            <w:tcW w:w="3410" w:type="dxa"/>
            <w:shd w:val="clear" w:color="auto" w:fill="60CAF3" w:themeFill="accent4" w:themeFillTint="99"/>
          </w:tcPr>
          <w:p w14:paraId="56E79C20" w14:textId="77777777" w:rsidR="00CD48A1" w:rsidRPr="00A825BE" w:rsidRDefault="00CD48A1" w:rsidP="00CD48A1"/>
        </w:tc>
      </w:tr>
      <w:tr w:rsidR="00CD48A1" w14:paraId="3E06AE06" w14:textId="77777777" w:rsidTr="00CD48A1">
        <w:trPr>
          <w:trHeight w:val="1146"/>
        </w:trPr>
        <w:tc>
          <w:tcPr>
            <w:tcW w:w="3020" w:type="dxa"/>
            <w:shd w:val="clear" w:color="auto" w:fill="FFFFFF" w:themeFill="background1"/>
          </w:tcPr>
          <w:p w14:paraId="23B2F39C" w14:textId="0EE53C8F" w:rsidR="00CD48A1" w:rsidRPr="00A825BE" w:rsidRDefault="00CD48A1" w:rsidP="00CD48A1">
            <w:pPr>
              <w:rPr>
                <w:b/>
                <w:bCs/>
                <w:color w:val="000000" w:themeColor="text1"/>
              </w:rPr>
            </w:pPr>
            <w:r w:rsidRPr="00A825BE">
              <w:rPr>
                <w:b/>
                <w:bCs/>
                <w:color w:val="000000" w:themeColor="text1"/>
              </w:rPr>
              <w:t>Garantie du suivi des seuils d’alertes mis en place sur la GTB/GTC</w:t>
            </w:r>
          </w:p>
        </w:tc>
        <w:tc>
          <w:tcPr>
            <w:tcW w:w="3913" w:type="dxa"/>
            <w:shd w:val="clear" w:color="auto" w:fill="FFFFFF" w:themeFill="background1"/>
          </w:tcPr>
          <w:p w14:paraId="23385F0C" w14:textId="69851E86" w:rsidR="00CD48A1" w:rsidRPr="00A825BE" w:rsidRDefault="00CD48A1" w:rsidP="00CD48A1">
            <w:r w:rsidRPr="00A825BE">
              <w:t>Nombre de procédures correctives mises en place / nombre de dérives détectées par le système d’alerte</w:t>
            </w:r>
          </w:p>
        </w:tc>
        <w:tc>
          <w:tcPr>
            <w:tcW w:w="3410" w:type="dxa"/>
            <w:shd w:val="clear" w:color="auto" w:fill="auto"/>
          </w:tcPr>
          <w:p w14:paraId="44A30BC0" w14:textId="47376BE0" w:rsidR="00CD48A1" w:rsidRDefault="000145E9" w:rsidP="00CD48A1">
            <w:r>
              <w:t>10</w:t>
            </w:r>
            <w:r w:rsidR="00CD48A1" w:rsidRPr="00A825BE">
              <w:t>0%</w:t>
            </w:r>
          </w:p>
        </w:tc>
      </w:tr>
    </w:tbl>
    <w:p w14:paraId="57632F90" w14:textId="77777777" w:rsidR="00360D5B" w:rsidRDefault="00360D5B" w:rsidP="00492439"/>
    <w:p w14:paraId="12CFE03F" w14:textId="16374BEF" w:rsidR="005C73CC" w:rsidRDefault="005C73CC" w:rsidP="00492439">
      <w:pPr>
        <w:spacing w:after="0" w:line="240" w:lineRule="auto"/>
      </w:pPr>
    </w:p>
    <w:sectPr w:rsidR="005C73CC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F7D87" w14:textId="77777777" w:rsidR="00492461" w:rsidRDefault="00492461" w:rsidP="00492461">
      <w:pPr>
        <w:spacing w:after="0" w:line="240" w:lineRule="auto"/>
      </w:pPr>
      <w:r>
        <w:separator/>
      </w:r>
    </w:p>
  </w:endnote>
  <w:endnote w:type="continuationSeparator" w:id="0">
    <w:p w14:paraId="5CBD2CB8" w14:textId="77777777" w:rsidR="00492461" w:rsidRDefault="00492461" w:rsidP="0049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855B5" w14:textId="3BB69642" w:rsidR="00492461" w:rsidRDefault="0049246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AF42B5" wp14:editId="0B2C49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998364373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04816A" w14:textId="52E58125" w:rsidR="00492461" w:rsidRPr="00492461" w:rsidRDefault="00492461" w:rsidP="004924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924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AF42B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49.6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" filled="f" stroked="f">
              <v:textbox style="mso-fit-shape-to-text:t" inset="20pt,0,0,15pt">
                <w:txbxContent>
                  <w:p w14:paraId="0704816A" w14:textId="52E58125" w:rsidR="00492461" w:rsidRPr="00492461" w:rsidRDefault="00492461" w:rsidP="004924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9246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302ED" w14:textId="2BE87038" w:rsidR="00492461" w:rsidRDefault="0049246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25D0BD" wp14:editId="6B5CF5B3">
              <wp:simplePos x="901700" y="10071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84295297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957AD5" w14:textId="59960C0D" w:rsidR="00492461" w:rsidRPr="00492461" w:rsidRDefault="00492461" w:rsidP="004924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924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25D0B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49.6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" filled="f" stroked="f">
              <v:textbox style="mso-fit-shape-to-text:t" inset="20pt,0,0,15pt">
                <w:txbxContent>
                  <w:p w14:paraId="38957AD5" w14:textId="59960C0D" w:rsidR="00492461" w:rsidRPr="00492461" w:rsidRDefault="00492461" w:rsidP="004924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9246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AEFA" w14:textId="28C32BA6" w:rsidR="00492461" w:rsidRDefault="0049246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26E4FC7" wp14:editId="327E446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751521333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35B7FB" w14:textId="54DFCFDB" w:rsidR="00492461" w:rsidRPr="00492461" w:rsidRDefault="00492461" w:rsidP="004924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924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6E4FC7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49.65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" filled="f" stroked="f">
              <v:textbox style="mso-fit-shape-to-text:t" inset="20pt,0,0,15pt">
                <w:txbxContent>
                  <w:p w14:paraId="1135B7FB" w14:textId="54DFCFDB" w:rsidR="00492461" w:rsidRPr="00492461" w:rsidRDefault="00492461" w:rsidP="004924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9246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A6651" w14:textId="77777777" w:rsidR="00492461" w:rsidRDefault="00492461" w:rsidP="00492461">
      <w:pPr>
        <w:spacing w:after="0" w:line="240" w:lineRule="auto"/>
      </w:pPr>
      <w:r>
        <w:separator/>
      </w:r>
    </w:p>
  </w:footnote>
  <w:footnote w:type="continuationSeparator" w:id="0">
    <w:p w14:paraId="7EE41486" w14:textId="77777777" w:rsidR="00492461" w:rsidRDefault="00492461" w:rsidP="00492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77E5C"/>
    <w:multiLevelType w:val="hybridMultilevel"/>
    <w:tmpl w:val="D2D0346C"/>
    <w:lvl w:ilvl="0" w:tplc="AAC01F8E">
      <w:start w:val="2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921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01"/>
    <w:rsid w:val="000145E9"/>
    <w:rsid w:val="000738B6"/>
    <w:rsid w:val="000D473E"/>
    <w:rsid w:val="001250E8"/>
    <w:rsid w:val="00132A75"/>
    <w:rsid w:val="00166981"/>
    <w:rsid w:val="00247E01"/>
    <w:rsid w:val="002E7778"/>
    <w:rsid w:val="00360D5B"/>
    <w:rsid w:val="003E1D9D"/>
    <w:rsid w:val="00457CF2"/>
    <w:rsid w:val="004726C6"/>
    <w:rsid w:val="00492439"/>
    <w:rsid w:val="00492461"/>
    <w:rsid w:val="004C2BB8"/>
    <w:rsid w:val="005B2BCD"/>
    <w:rsid w:val="005C73CC"/>
    <w:rsid w:val="005E2552"/>
    <w:rsid w:val="006E07AA"/>
    <w:rsid w:val="006E2980"/>
    <w:rsid w:val="0072065F"/>
    <w:rsid w:val="00844E60"/>
    <w:rsid w:val="008E7278"/>
    <w:rsid w:val="009E1C21"/>
    <w:rsid w:val="009F1D73"/>
    <w:rsid w:val="00A46846"/>
    <w:rsid w:val="00A825BE"/>
    <w:rsid w:val="00B44363"/>
    <w:rsid w:val="00BF30F0"/>
    <w:rsid w:val="00C25036"/>
    <w:rsid w:val="00CD48A1"/>
    <w:rsid w:val="00D15A93"/>
    <w:rsid w:val="00D74FFF"/>
    <w:rsid w:val="00F30796"/>
    <w:rsid w:val="00FA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5046"/>
  <w15:chartTrackingRefBased/>
  <w15:docId w15:val="{17137868-0A9D-47FC-B3A9-24B38543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7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47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47E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7E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7E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47E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47E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47E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47E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47E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47E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47E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47E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47E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47E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47E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47E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47E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47E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7E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7E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47E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47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47E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47E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47E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47E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47E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47E01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C25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492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2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Ducos, Gaetan</dc:creator>
  <cp:keywords/>
  <dc:description/>
  <cp:lastModifiedBy>Ducos, Gaetan</cp:lastModifiedBy>
  <cp:revision>24</cp:revision>
  <dcterms:created xsi:type="dcterms:W3CDTF">2025-11-17T14:46:00Z</dcterms:created>
  <dcterms:modified xsi:type="dcterms:W3CDTF">2025-11-21T11:36:00Z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2ccb4e35,3b81d4d5,5063e81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2025-11-17T15:09:42Z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0d3a7c1e-02eb-49f1-9e68-eae0cf951ca7</vt:lpwstr>
  </property>
  <property fmtid="{D5CDD505-2E9C-101B-9397-08002B2CF9AE}" pid="11" name="MSIP_Label_94e1e3e5-28aa-42d2-a9d5-f117a2286530_ContentBits">
    <vt:lpwstr>2</vt:lpwstr>
  </property>
</Properties>
</file>